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vertAlign w:val="baseline"/>
        </w:rPr>
      </w:pPr>
      <w:r>
        <w:rPr>
          <w:rStyle w:val="6"/>
          <w:rFonts w:ascii="微软雅黑" w:hAnsi="微软雅黑" w:eastAsia="微软雅黑" w:cs="微软雅黑"/>
          <w:i w:val="0"/>
          <w:iCs w:val="0"/>
          <w:caps w:val="0"/>
          <w:color w:val="333333"/>
          <w:spacing w:val="0"/>
          <w:sz w:val="21"/>
          <w:szCs w:val="21"/>
          <w:shd w:val="clear" w:fill="FFFFFF"/>
        </w:rPr>
        <w:t>重庆市基层中医药服务能力提升实施方案考核评价指标</w:t>
      </w:r>
    </w:p>
    <w:tbl>
      <w:tblPr>
        <w:tblW w:w="8031"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32"/>
        <w:gridCol w:w="1000"/>
        <w:gridCol w:w="64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center"/>
              <w:textAlignment w:val="auto"/>
              <w:rPr>
                <w:rFonts w:ascii="Calibri" w:hAnsi="Calibri" w:cs="Calibri"/>
                <w:sz w:val="14"/>
                <w:szCs w:val="14"/>
              </w:rPr>
            </w:pPr>
            <w:r>
              <w:rPr>
                <w:rStyle w:val="6"/>
                <w:rFonts w:ascii="方正仿宋_GBK" w:hAnsi="方正仿宋_GBK" w:eastAsia="方正仿宋_GBK" w:cs="方正仿宋_GBK"/>
                <w:i w:val="0"/>
                <w:iCs w:val="0"/>
                <w:caps w:val="0"/>
                <w:color w:val="333333"/>
                <w:spacing w:val="0"/>
                <w:sz w:val="21"/>
                <w:szCs w:val="21"/>
                <w:bdr w:val="none" w:color="auto" w:sz="0" w:space="0"/>
              </w:rPr>
              <w:t>序号</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210"/>
              <w:jc w:val="both"/>
              <w:textAlignment w:val="auto"/>
              <w:rPr>
                <w:rFonts w:hint="default" w:ascii="Calibri" w:hAnsi="Calibri" w:cs="Calibri"/>
                <w:sz w:val="14"/>
                <w:szCs w:val="14"/>
              </w:rPr>
            </w:pPr>
            <w:r>
              <w:rPr>
                <w:rStyle w:val="6"/>
                <w:rFonts w:hint="default" w:ascii="方正仿宋_GBK" w:hAnsi="方正仿宋_GBK" w:eastAsia="方正仿宋_GBK" w:cs="方正仿宋_GBK"/>
                <w:i w:val="0"/>
                <w:iCs w:val="0"/>
                <w:caps w:val="0"/>
                <w:color w:val="333333"/>
                <w:spacing w:val="0"/>
                <w:sz w:val="21"/>
                <w:szCs w:val="21"/>
                <w:bdr w:val="none" w:color="auto" w:sz="0" w:space="0"/>
              </w:rPr>
              <w:t>分 类</w:t>
            </w: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430"/>
              <w:jc w:val="center"/>
              <w:textAlignment w:val="auto"/>
              <w:rPr>
                <w:rFonts w:hint="default" w:ascii="Calibri" w:hAnsi="Calibri" w:cs="Calibri"/>
                <w:sz w:val="14"/>
                <w:szCs w:val="14"/>
              </w:rPr>
            </w:pPr>
            <w:r>
              <w:rPr>
                <w:rStyle w:val="6"/>
                <w:rFonts w:hint="default" w:ascii="方正仿宋_GBK" w:hAnsi="方正仿宋_GBK" w:eastAsia="方正仿宋_GBK" w:cs="方正仿宋_GBK"/>
                <w:i w:val="0"/>
                <w:iCs w:val="0"/>
                <w:caps w:val="0"/>
                <w:color w:val="333333"/>
                <w:spacing w:val="0"/>
                <w:sz w:val="21"/>
                <w:szCs w:val="21"/>
                <w:bdr w:val="none" w:color="auto" w:sz="0" w:space="0"/>
              </w:rPr>
              <w:t>指标内容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7"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基层中医药服务覆盖面</w:t>
            </w: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100%</w:t>
            </w:r>
            <w:r>
              <w:rPr>
                <w:rFonts w:hint="default" w:ascii="方正仿宋_GBK" w:hAnsi="方正仿宋_GBK" w:eastAsia="方正仿宋_GBK" w:cs="方正仿宋_GBK"/>
                <w:i w:val="0"/>
                <w:iCs w:val="0"/>
                <w:caps w:val="0"/>
                <w:color w:val="333333"/>
                <w:spacing w:val="0"/>
                <w:sz w:val="19"/>
                <w:szCs w:val="19"/>
                <w:bdr w:val="none" w:color="auto" w:sz="0" w:space="0"/>
              </w:rPr>
              <w:t>社区卫生服务中心、乡镇卫生院能够按照中医药技术操作规范开展</w:t>
            </w:r>
            <w:r>
              <w:rPr>
                <w:rFonts w:hint="default" w:ascii="Times New Roman" w:hAnsi="Times New Roman" w:eastAsia="微软雅黑" w:cs="Times New Roman"/>
                <w:i w:val="0"/>
                <w:iCs w:val="0"/>
                <w:caps w:val="0"/>
                <w:color w:val="333333"/>
                <w:spacing w:val="0"/>
                <w:sz w:val="19"/>
                <w:szCs w:val="19"/>
                <w:bdr w:val="none" w:color="auto" w:sz="0" w:space="0"/>
              </w:rPr>
              <w:t>6</w:t>
            </w:r>
            <w:r>
              <w:rPr>
                <w:rFonts w:hint="default" w:ascii="方正仿宋_GBK" w:hAnsi="方正仿宋_GBK" w:eastAsia="方正仿宋_GBK" w:cs="方正仿宋_GBK"/>
                <w:i w:val="0"/>
                <w:iCs w:val="0"/>
                <w:caps w:val="0"/>
                <w:color w:val="333333"/>
                <w:spacing w:val="0"/>
                <w:sz w:val="19"/>
                <w:szCs w:val="19"/>
                <w:bdr w:val="none" w:color="auto" w:sz="0" w:space="0"/>
              </w:rPr>
              <w:t>类</w:t>
            </w:r>
            <w:r>
              <w:rPr>
                <w:rFonts w:hint="default" w:ascii="Times New Roman" w:hAnsi="Times New Roman" w:eastAsia="微软雅黑" w:cs="Times New Roman"/>
                <w:i w:val="0"/>
                <w:iCs w:val="0"/>
                <w:caps w:val="0"/>
                <w:color w:val="333333"/>
                <w:spacing w:val="0"/>
                <w:sz w:val="19"/>
                <w:szCs w:val="19"/>
                <w:bdr w:val="none" w:color="auto" w:sz="0" w:space="0"/>
              </w:rPr>
              <w:t>10</w:t>
            </w:r>
            <w:r>
              <w:rPr>
                <w:rFonts w:hint="default" w:ascii="方正仿宋_GBK" w:hAnsi="方正仿宋_GBK" w:eastAsia="方正仿宋_GBK" w:cs="方正仿宋_GBK"/>
                <w:i w:val="0"/>
                <w:iCs w:val="0"/>
                <w:caps w:val="0"/>
                <w:color w:val="333333"/>
                <w:spacing w:val="0"/>
                <w:sz w:val="19"/>
                <w:szCs w:val="19"/>
                <w:bdr w:val="none" w:color="auto" w:sz="0" w:space="0"/>
              </w:rPr>
              <w:t>项以上中医药适宜技术。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4"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2</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exact"/>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100%</w:t>
            </w:r>
            <w:r>
              <w:rPr>
                <w:rFonts w:hint="default" w:ascii="方正仿宋_GBK" w:hAnsi="方正仿宋_GBK" w:eastAsia="方正仿宋_GBK" w:cs="方正仿宋_GBK"/>
                <w:i w:val="0"/>
                <w:iCs w:val="0"/>
                <w:caps w:val="0"/>
                <w:color w:val="333333"/>
                <w:spacing w:val="0"/>
                <w:sz w:val="19"/>
                <w:szCs w:val="19"/>
                <w:bdr w:val="none" w:color="auto" w:sz="0" w:space="0"/>
              </w:rPr>
              <w:t>社区卫生服务站、</w:t>
            </w:r>
            <w:r>
              <w:rPr>
                <w:rFonts w:hint="default" w:ascii="Times New Roman" w:hAnsi="Times New Roman" w:eastAsia="微软雅黑" w:cs="Times New Roman"/>
                <w:i w:val="0"/>
                <w:iCs w:val="0"/>
                <w:caps w:val="0"/>
                <w:color w:val="333333"/>
                <w:spacing w:val="0"/>
                <w:sz w:val="19"/>
                <w:szCs w:val="19"/>
                <w:bdr w:val="none" w:color="auto" w:sz="0" w:space="0"/>
              </w:rPr>
              <w:t>80%</w:t>
            </w:r>
            <w:r>
              <w:rPr>
                <w:rFonts w:hint="default" w:ascii="方正仿宋_GBK" w:hAnsi="方正仿宋_GBK" w:eastAsia="方正仿宋_GBK" w:cs="方正仿宋_GBK"/>
                <w:i w:val="0"/>
                <w:iCs w:val="0"/>
                <w:caps w:val="0"/>
                <w:color w:val="333333"/>
                <w:spacing w:val="0"/>
                <w:sz w:val="19"/>
                <w:szCs w:val="19"/>
                <w:bdr w:val="none" w:color="auto" w:sz="0" w:space="0"/>
              </w:rPr>
              <w:t>以上村卫生室能够按照中医药技术操作规范熟练开展</w:t>
            </w:r>
            <w:r>
              <w:rPr>
                <w:rFonts w:hint="default" w:ascii="Times New Roman" w:hAnsi="Times New Roman" w:eastAsia="微软雅黑" w:cs="Times New Roman"/>
                <w:i w:val="0"/>
                <w:iCs w:val="0"/>
                <w:caps w:val="0"/>
                <w:color w:val="333333"/>
                <w:spacing w:val="0"/>
                <w:sz w:val="19"/>
                <w:szCs w:val="19"/>
                <w:bdr w:val="none" w:color="auto" w:sz="0" w:space="0"/>
              </w:rPr>
              <w:t>4</w:t>
            </w:r>
            <w:r>
              <w:rPr>
                <w:rFonts w:hint="default" w:ascii="方正仿宋_GBK" w:hAnsi="方正仿宋_GBK" w:eastAsia="方正仿宋_GBK" w:cs="方正仿宋_GBK"/>
                <w:i w:val="0"/>
                <w:iCs w:val="0"/>
                <w:caps w:val="0"/>
                <w:color w:val="333333"/>
                <w:spacing w:val="0"/>
                <w:sz w:val="19"/>
                <w:szCs w:val="19"/>
                <w:bdr w:val="none" w:color="auto" w:sz="0" w:space="0"/>
              </w:rPr>
              <w:t>类</w:t>
            </w:r>
            <w:r>
              <w:rPr>
                <w:rFonts w:hint="default" w:ascii="Times New Roman" w:hAnsi="Times New Roman" w:eastAsia="微软雅黑" w:cs="Times New Roman"/>
                <w:i w:val="0"/>
                <w:iCs w:val="0"/>
                <w:caps w:val="0"/>
                <w:color w:val="333333"/>
                <w:spacing w:val="0"/>
                <w:sz w:val="19"/>
                <w:szCs w:val="19"/>
                <w:bdr w:val="none" w:color="auto" w:sz="0" w:space="0"/>
              </w:rPr>
              <w:t>6</w:t>
            </w:r>
            <w:r>
              <w:rPr>
                <w:rFonts w:hint="default" w:ascii="方正仿宋_GBK" w:hAnsi="方正仿宋_GBK" w:eastAsia="方正仿宋_GBK" w:cs="方正仿宋_GBK"/>
                <w:i w:val="0"/>
                <w:iCs w:val="0"/>
                <w:caps w:val="0"/>
                <w:color w:val="333333"/>
                <w:spacing w:val="0"/>
                <w:sz w:val="19"/>
                <w:szCs w:val="19"/>
                <w:bdr w:val="none" w:color="auto" w:sz="0" w:space="0"/>
              </w:rPr>
              <w:t>项以上中医药适宜技术。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3</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exact"/>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100%</w:t>
            </w:r>
            <w:r>
              <w:rPr>
                <w:rFonts w:hint="default" w:ascii="方正仿宋_GBK" w:hAnsi="方正仿宋_GBK" w:eastAsia="方正仿宋_GBK" w:cs="方正仿宋_GBK"/>
                <w:i w:val="0"/>
                <w:iCs w:val="0"/>
                <w:caps w:val="0"/>
                <w:color w:val="333333"/>
                <w:spacing w:val="0"/>
                <w:sz w:val="19"/>
                <w:szCs w:val="19"/>
                <w:bdr w:val="none" w:color="auto" w:sz="0" w:space="0"/>
              </w:rPr>
              <w:t>的社区卫生服务站和</w:t>
            </w:r>
            <w:r>
              <w:rPr>
                <w:rFonts w:hint="default" w:ascii="Times New Roman" w:hAnsi="Times New Roman" w:eastAsia="微软雅黑" w:cs="Times New Roman"/>
                <w:i w:val="0"/>
                <w:iCs w:val="0"/>
                <w:caps w:val="0"/>
                <w:color w:val="333333"/>
                <w:spacing w:val="0"/>
                <w:sz w:val="19"/>
                <w:szCs w:val="19"/>
                <w:bdr w:val="none" w:color="auto" w:sz="0" w:space="0"/>
              </w:rPr>
              <w:t>95%</w:t>
            </w:r>
            <w:r>
              <w:rPr>
                <w:rFonts w:hint="default" w:ascii="方正仿宋_GBK" w:hAnsi="方正仿宋_GBK" w:eastAsia="方正仿宋_GBK" w:cs="方正仿宋_GBK"/>
                <w:i w:val="0"/>
                <w:iCs w:val="0"/>
                <w:caps w:val="0"/>
                <w:color w:val="333333"/>
                <w:spacing w:val="0"/>
                <w:sz w:val="19"/>
                <w:szCs w:val="19"/>
                <w:bdr w:val="none" w:color="auto" w:sz="0" w:space="0"/>
              </w:rPr>
              <w:t>以上的村卫生室能够提供中医药服务。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3"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4</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基层中医药服务能力建设</w:t>
            </w: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区县办中医医院全覆盖。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5</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15" w:lineRule="auto"/>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社区卫生服务中心和乡镇卫生院全部设置中医馆、配备中医医师。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6</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15" w:lineRule="auto"/>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所有区县依托区县级医院设置中医健康宣教基地。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7</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15" w:lineRule="auto"/>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100%</w:t>
            </w:r>
            <w:r>
              <w:rPr>
                <w:rFonts w:hint="default" w:ascii="方正仿宋_GBK" w:hAnsi="方正仿宋_GBK" w:eastAsia="方正仿宋_GBK" w:cs="方正仿宋_GBK"/>
                <w:i w:val="0"/>
                <w:iCs w:val="0"/>
                <w:caps w:val="0"/>
                <w:color w:val="333333"/>
                <w:spacing w:val="0"/>
                <w:sz w:val="19"/>
                <w:szCs w:val="19"/>
                <w:bdr w:val="none" w:color="auto" w:sz="0" w:space="0"/>
              </w:rPr>
              <w:t>的区县级中医医院达到</w:t>
            </w:r>
            <w:r>
              <w:rPr>
                <w:rFonts w:hint="default" w:ascii="Times New Roman" w:hAnsi="Times New Roman" w:eastAsia="微软雅黑" w:cs="Times New Roman"/>
                <w:i w:val="0"/>
                <w:iCs w:val="0"/>
                <w:caps w:val="0"/>
                <w:color w:val="333333"/>
                <w:spacing w:val="0"/>
                <w:sz w:val="19"/>
                <w:szCs w:val="19"/>
                <w:bdr w:val="none" w:color="auto" w:sz="0" w:space="0"/>
              </w:rPr>
              <w:t>“</w:t>
            </w:r>
            <w:r>
              <w:rPr>
                <w:rFonts w:hint="default" w:ascii="方正仿宋_GBK" w:hAnsi="方正仿宋_GBK" w:eastAsia="方正仿宋_GBK" w:cs="方正仿宋_GBK"/>
                <w:i w:val="0"/>
                <w:iCs w:val="0"/>
                <w:caps w:val="0"/>
                <w:color w:val="333333"/>
                <w:spacing w:val="0"/>
                <w:sz w:val="19"/>
                <w:szCs w:val="19"/>
                <w:bdr w:val="none" w:color="auto" w:sz="0" w:space="0"/>
              </w:rPr>
              <w:t>二级甲等中医医院</w:t>
            </w:r>
            <w:r>
              <w:rPr>
                <w:rFonts w:hint="default" w:ascii="Times New Roman" w:hAnsi="Times New Roman" w:eastAsia="微软雅黑" w:cs="Times New Roman"/>
                <w:i w:val="0"/>
                <w:iCs w:val="0"/>
                <w:caps w:val="0"/>
                <w:color w:val="333333"/>
                <w:spacing w:val="0"/>
                <w:sz w:val="19"/>
                <w:szCs w:val="19"/>
                <w:bdr w:val="none" w:color="auto" w:sz="0" w:space="0"/>
              </w:rPr>
              <w:t>”</w:t>
            </w:r>
            <w:r>
              <w:rPr>
                <w:rFonts w:hint="default" w:ascii="方正仿宋_GBK" w:hAnsi="方正仿宋_GBK" w:eastAsia="方正仿宋_GBK" w:cs="方正仿宋_GBK"/>
                <w:i w:val="0"/>
                <w:iCs w:val="0"/>
                <w:caps w:val="0"/>
                <w:color w:val="333333"/>
                <w:spacing w:val="0"/>
                <w:sz w:val="19"/>
                <w:szCs w:val="19"/>
                <w:bdr w:val="none" w:color="auto" w:sz="0" w:space="0"/>
              </w:rPr>
              <w:t>水平，区县级中医医院均达到《县级中医医院医疗服务能力基本标准》。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8</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15" w:lineRule="auto"/>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15%</w:t>
            </w:r>
            <w:r>
              <w:rPr>
                <w:rFonts w:hint="default" w:ascii="方正仿宋_GBK" w:hAnsi="方正仿宋_GBK" w:eastAsia="方正仿宋_GBK" w:cs="方正仿宋_GBK"/>
                <w:i w:val="0"/>
                <w:iCs w:val="0"/>
                <w:caps w:val="0"/>
                <w:color w:val="333333"/>
                <w:spacing w:val="0"/>
                <w:sz w:val="19"/>
                <w:szCs w:val="19"/>
                <w:bdr w:val="none" w:color="auto" w:sz="0" w:space="0"/>
              </w:rPr>
              <w:t>的社区卫生服务中心和乡镇卫生院的中医馆完成服务内涵建设，打造一批</w:t>
            </w:r>
            <w:r>
              <w:rPr>
                <w:rFonts w:hint="default" w:ascii="Times New Roman" w:hAnsi="Times New Roman" w:eastAsia="微软雅黑" w:cs="Times New Roman"/>
                <w:i w:val="0"/>
                <w:iCs w:val="0"/>
                <w:caps w:val="0"/>
                <w:color w:val="333333"/>
                <w:spacing w:val="0"/>
                <w:sz w:val="19"/>
                <w:szCs w:val="19"/>
                <w:bdr w:val="none" w:color="auto" w:sz="0" w:space="0"/>
              </w:rPr>
              <w:t>“</w:t>
            </w:r>
            <w:r>
              <w:rPr>
                <w:rFonts w:hint="default" w:ascii="方正仿宋_GBK" w:hAnsi="方正仿宋_GBK" w:eastAsia="方正仿宋_GBK" w:cs="方正仿宋_GBK"/>
                <w:i w:val="0"/>
                <w:iCs w:val="0"/>
                <w:caps w:val="0"/>
                <w:color w:val="333333"/>
                <w:spacing w:val="0"/>
                <w:sz w:val="19"/>
                <w:szCs w:val="19"/>
                <w:bdr w:val="none" w:color="auto" w:sz="0" w:space="0"/>
              </w:rPr>
              <w:t>精品中医馆</w:t>
            </w:r>
            <w:r>
              <w:rPr>
                <w:rFonts w:hint="default" w:ascii="Times New Roman" w:hAnsi="Times New Roman" w:eastAsia="微软雅黑" w:cs="Times New Roman"/>
                <w:i w:val="0"/>
                <w:iCs w:val="0"/>
                <w:caps w:val="0"/>
                <w:color w:val="333333"/>
                <w:spacing w:val="0"/>
                <w:sz w:val="19"/>
                <w:szCs w:val="19"/>
                <w:bdr w:val="none" w:color="auto" w:sz="0" w:space="0"/>
              </w:rPr>
              <w:t>”</w:t>
            </w:r>
            <w:r>
              <w:rPr>
                <w:rFonts w:hint="default" w:ascii="方正仿宋_GBK" w:hAnsi="方正仿宋_GBK" w:eastAsia="方正仿宋_GBK" w:cs="方正仿宋_GBK"/>
                <w:i w:val="0"/>
                <w:iCs w:val="0"/>
                <w:caps w:val="0"/>
                <w:color w:val="333333"/>
                <w:spacing w:val="0"/>
                <w:sz w:val="19"/>
                <w:szCs w:val="19"/>
                <w:bdr w:val="none" w:color="auto" w:sz="0" w:space="0"/>
              </w:rPr>
              <w:t>、</w:t>
            </w:r>
            <w:r>
              <w:rPr>
                <w:rFonts w:hint="default" w:ascii="Times New Roman" w:hAnsi="Times New Roman" w:eastAsia="微软雅黑" w:cs="Times New Roman"/>
                <w:i w:val="0"/>
                <w:iCs w:val="0"/>
                <w:caps w:val="0"/>
                <w:color w:val="333333"/>
                <w:spacing w:val="0"/>
                <w:sz w:val="19"/>
                <w:szCs w:val="19"/>
                <w:bdr w:val="none" w:color="auto" w:sz="0" w:space="0"/>
              </w:rPr>
              <w:t>30-50</w:t>
            </w:r>
            <w:r>
              <w:rPr>
                <w:rFonts w:hint="default" w:ascii="方正仿宋_GBK" w:hAnsi="方正仿宋_GBK" w:eastAsia="方正仿宋_GBK" w:cs="方正仿宋_GBK"/>
                <w:i w:val="0"/>
                <w:iCs w:val="0"/>
                <w:caps w:val="0"/>
                <w:color w:val="333333"/>
                <w:spacing w:val="0"/>
                <w:sz w:val="19"/>
                <w:szCs w:val="19"/>
                <w:bdr w:val="none" w:color="auto" w:sz="0" w:space="0"/>
              </w:rPr>
              <w:t>个</w:t>
            </w:r>
            <w:r>
              <w:rPr>
                <w:rFonts w:hint="default" w:ascii="Times New Roman" w:hAnsi="Times New Roman" w:eastAsia="微软雅黑" w:cs="Times New Roman"/>
                <w:i w:val="0"/>
                <w:iCs w:val="0"/>
                <w:caps w:val="0"/>
                <w:color w:val="333333"/>
                <w:spacing w:val="0"/>
                <w:sz w:val="19"/>
                <w:szCs w:val="19"/>
                <w:bdr w:val="none" w:color="auto" w:sz="0" w:space="0"/>
              </w:rPr>
              <w:t>“</w:t>
            </w:r>
            <w:r>
              <w:rPr>
                <w:rFonts w:hint="default" w:ascii="方正仿宋_GBK" w:hAnsi="方正仿宋_GBK" w:eastAsia="方正仿宋_GBK" w:cs="方正仿宋_GBK"/>
                <w:i w:val="0"/>
                <w:iCs w:val="0"/>
                <w:caps w:val="0"/>
                <w:color w:val="333333"/>
                <w:spacing w:val="0"/>
                <w:sz w:val="19"/>
                <w:szCs w:val="19"/>
                <w:bdr w:val="none" w:color="auto" w:sz="0" w:space="0"/>
              </w:rPr>
              <w:t>示范精品中医馆</w:t>
            </w:r>
            <w:r>
              <w:rPr>
                <w:rFonts w:hint="default" w:ascii="Times New Roman" w:hAnsi="Times New Roman" w:eastAsia="微软雅黑" w:cs="Times New Roman"/>
                <w:i w:val="0"/>
                <w:iCs w:val="0"/>
                <w:caps w:val="0"/>
                <w:color w:val="333333"/>
                <w:spacing w:val="0"/>
                <w:sz w:val="19"/>
                <w:szCs w:val="19"/>
                <w:bdr w:val="none" w:color="auto" w:sz="0" w:space="0"/>
              </w:rPr>
              <w:t>”</w:t>
            </w:r>
            <w:r>
              <w:rPr>
                <w:rFonts w:hint="default" w:ascii="方正仿宋_GBK" w:hAnsi="方正仿宋_GBK" w:eastAsia="方正仿宋_GBK" w:cs="方正仿宋_GBK"/>
                <w:i w:val="0"/>
                <w:iCs w:val="0"/>
                <w:caps w:val="0"/>
                <w:color w:val="333333"/>
                <w:spacing w:val="0"/>
                <w:sz w:val="19"/>
                <w:szCs w:val="19"/>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9</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15" w:lineRule="auto"/>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10%</w:t>
            </w:r>
            <w:r>
              <w:rPr>
                <w:rFonts w:hint="default" w:ascii="方正仿宋_GBK" w:hAnsi="方正仿宋_GBK" w:eastAsia="方正仿宋_GBK" w:cs="方正仿宋_GBK"/>
                <w:i w:val="0"/>
                <w:iCs w:val="0"/>
                <w:caps w:val="0"/>
                <w:color w:val="333333"/>
                <w:spacing w:val="0"/>
                <w:sz w:val="19"/>
                <w:szCs w:val="19"/>
                <w:bdr w:val="none" w:color="auto" w:sz="0" w:space="0"/>
              </w:rPr>
              <w:t>的社区卫生服务站和村卫生室设置</w:t>
            </w:r>
            <w:r>
              <w:rPr>
                <w:rFonts w:hint="default" w:ascii="Times New Roman" w:hAnsi="Times New Roman" w:eastAsia="微软雅黑" w:cs="Times New Roman"/>
                <w:i w:val="0"/>
                <w:iCs w:val="0"/>
                <w:caps w:val="0"/>
                <w:color w:val="333333"/>
                <w:spacing w:val="0"/>
                <w:sz w:val="19"/>
                <w:szCs w:val="19"/>
                <w:bdr w:val="none" w:color="auto" w:sz="0" w:space="0"/>
              </w:rPr>
              <w:t>“</w:t>
            </w:r>
            <w:r>
              <w:rPr>
                <w:rFonts w:hint="default" w:ascii="方正仿宋_GBK" w:hAnsi="方正仿宋_GBK" w:eastAsia="方正仿宋_GBK" w:cs="方正仿宋_GBK"/>
                <w:i w:val="0"/>
                <w:iCs w:val="0"/>
                <w:caps w:val="0"/>
                <w:color w:val="333333"/>
                <w:spacing w:val="0"/>
                <w:sz w:val="19"/>
                <w:szCs w:val="19"/>
                <w:bdr w:val="none" w:color="auto" w:sz="0" w:space="0"/>
              </w:rPr>
              <w:t>中医阁</w:t>
            </w:r>
            <w:r>
              <w:rPr>
                <w:rFonts w:hint="default" w:ascii="Times New Roman" w:hAnsi="Times New Roman" w:eastAsia="微软雅黑" w:cs="Times New Roman"/>
                <w:i w:val="0"/>
                <w:iCs w:val="0"/>
                <w:caps w:val="0"/>
                <w:color w:val="333333"/>
                <w:spacing w:val="0"/>
                <w:sz w:val="19"/>
                <w:szCs w:val="19"/>
                <w:bdr w:val="none" w:color="auto" w:sz="0" w:space="0"/>
              </w:rPr>
              <w:t>”</w:t>
            </w:r>
            <w:r>
              <w:rPr>
                <w:rFonts w:hint="default" w:ascii="方正仿宋_GBK" w:hAnsi="方正仿宋_GBK" w:eastAsia="方正仿宋_GBK" w:cs="方正仿宋_GBK"/>
                <w:i w:val="0"/>
                <w:iCs w:val="0"/>
                <w:caps w:val="0"/>
                <w:color w:val="333333"/>
                <w:spacing w:val="0"/>
                <w:sz w:val="19"/>
                <w:szCs w:val="19"/>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10</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15" w:lineRule="auto"/>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70%</w:t>
            </w:r>
            <w:r>
              <w:rPr>
                <w:rFonts w:hint="default" w:ascii="方正仿宋_GBK" w:hAnsi="方正仿宋_GBK" w:eastAsia="方正仿宋_GBK" w:cs="方正仿宋_GBK"/>
                <w:i w:val="0"/>
                <w:iCs w:val="0"/>
                <w:caps w:val="0"/>
                <w:color w:val="333333"/>
                <w:spacing w:val="0"/>
                <w:sz w:val="19"/>
                <w:szCs w:val="19"/>
                <w:bdr w:val="none" w:color="auto" w:sz="0" w:space="0"/>
              </w:rPr>
              <w:t>的二级及以上公立中医医院设置康复科。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11</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15" w:lineRule="auto"/>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60%</w:t>
            </w:r>
            <w:r>
              <w:rPr>
                <w:rFonts w:hint="default" w:ascii="方正仿宋_GBK" w:hAnsi="方正仿宋_GBK" w:eastAsia="方正仿宋_GBK" w:cs="方正仿宋_GBK"/>
                <w:i w:val="0"/>
                <w:iCs w:val="0"/>
                <w:caps w:val="0"/>
                <w:color w:val="333333"/>
                <w:spacing w:val="0"/>
                <w:sz w:val="19"/>
                <w:szCs w:val="19"/>
                <w:bdr w:val="none" w:color="auto" w:sz="0" w:space="0"/>
              </w:rPr>
              <w:t>的二级及以上公立中医医院设置老年病科。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43"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12</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15" w:lineRule="auto"/>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各县（市、区）老年人和儿童中医药健康管理率分别达到</w:t>
            </w:r>
            <w:r>
              <w:rPr>
                <w:rFonts w:hint="default" w:ascii="Times New Roman" w:hAnsi="Times New Roman" w:eastAsia="微软雅黑" w:cs="Times New Roman"/>
                <w:i w:val="0"/>
                <w:iCs w:val="0"/>
                <w:caps w:val="0"/>
                <w:color w:val="333333"/>
                <w:spacing w:val="0"/>
                <w:sz w:val="19"/>
                <w:szCs w:val="19"/>
                <w:bdr w:val="none" w:color="auto" w:sz="0" w:space="0"/>
              </w:rPr>
              <w:t>75%</w:t>
            </w:r>
            <w:r>
              <w:rPr>
                <w:rFonts w:hint="default" w:ascii="方正仿宋_GBK" w:hAnsi="方正仿宋_GBK" w:eastAsia="方正仿宋_GBK" w:cs="方正仿宋_GBK"/>
                <w:i w:val="0"/>
                <w:iCs w:val="0"/>
                <w:caps w:val="0"/>
                <w:color w:val="333333"/>
                <w:spacing w:val="0"/>
                <w:sz w:val="19"/>
                <w:szCs w:val="19"/>
                <w:bdr w:val="none" w:color="auto" w:sz="0" w:space="0"/>
              </w:rPr>
              <w:t>和</w:t>
            </w:r>
            <w:r>
              <w:rPr>
                <w:rFonts w:hint="default" w:ascii="Times New Roman" w:hAnsi="Times New Roman" w:eastAsia="微软雅黑" w:cs="Times New Roman"/>
                <w:i w:val="0"/>
                <w:iCs w:val="0"/>
                <w:caps w:val="0"/>
                <w:color w:val="333333"/>
                <w:spacing w:val="0"/>
                <w:sz w:val="19"/>
                <w:szCs w:val="19"/>
                <w:bdr w:val="none" w:color="auto" w:sz="0" w:space="0"/>
              </w:rPr>
              <w:t>85%</w:t>
            </w:r>
            <w:r>
              <w:rPr>
                <w:rFonts w:hint="default" w:ascii="方正仿宋_GBK" w:hAnsi="方正仿宋_GBK" w:eastAsia="方正仿宋_GBK" w:cs="方正仿宋_GBK"/>
                <w:i w:val="0"/>
                <w:iCs w:val="0"/>
                <w:caps w:val="0"/>
                <w:color w:val="333333"/>
                <w:spacing w:val="0"/>
                <w:sz w:val="19"/>
                <w:szCs w:val="19"/>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13</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基层中医药人才队伍建设</w:t>
            </w: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基本实现城乡每万居民有</w:t>
            </w:r>
            <w:r>
              <w:rPr>
                <w:rFonts w:hint="default" w:ascii="Times New Roman" w:hAnsi="Times New Roman" w:eastAsia="微软雅黑" w:cs="Times New Roman"/>
                <w:i w:val="0"/>
                <w:iCs w:val="0"/>
                <w:caps w:val="0"/>
                <w:color w:val="333333"/>
                <w:spacing w:val="0"/>
                <w:sz w:val="19"/>
                <w:szCs w:val="19"/>
                <w:bdr w:val="none" w:color="auto" w:sz="0" w:space="0"/>
              </w:rPr>
              <w:t>0.79</w:t>
            </w:r>
            <w:r>
              <w:rPr>
                <w:rFonts w:hint="default" w:ascii="方正仿宋_GBK" w:hAnsi="方正仿宋_GBK" w:eastAsia="方正仿宋_GBK" w:cs="方正仿宋_GBK"/>
                <w:i w:val="0"/>
                <w:iCs w:val="0"/>
                <w:caps w:val="0"/>
                <w:color w:val="333333"/>
                <w:spacing w:val="0"/>
                <w:sz w:val="19"/>
                <w:szCs w:val="19"/>
                <w:bdr w:val="none" w:color="auto" w:sz="0" w:space="0"/>
              </w:rPr>
              <w:t>名合格的中医类别全科医生。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8"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14</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exact"/>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社区卫生服务中心和乡镇卫生院中医类别医师占同类机构医师总数比例达到</w:t>
            </w:r>
            <w:r>
              <w:rPr>
                <w:rFonts w:hint="default" w:ascii="Times New Roman" w:hAnsi="Times New Roman" w:eastAsia="微软雅黑" w:cs="Times New Roman"/>
                <w:i w:val="0"/>
                <w:iCs w:val="0"/>
                <w:caps w:val="0"/>
                <w:color w:val="333333"/>
                <w:spacing w:val="0"/>
                <w:sz w:val="19"/>
                <w:szCs w:val="19"/>
                <w:bdr w:val="none" w:color="auto" w:sz="0" w:space="0"/>
              </w:rPr>
              <w:t>25%</w:t>
            </w:r>
            <w:r>
              <w:rPr>
                <w:rFonts w:hint="default" w:ascii="方正仿宋_GBK" w:hAnsi="方正仿宋_GBK" w:eastAsia="方正仿宋_GBK" w:cs="方正仿宋_GBK"/>
                <w:i w:val="0"/>
                <w:iCs w:val="0"/>
                <w:caps w:val="0"/>
                <w:color w:val="333333"/>
                <w:spacing w:val="0"/>
                <w:sz w:val="19"/>
                <w:szCs w:val="19"/>
                <w:bdr w:val="none" w:color="auto" w:sz="0" w:space="0"/>
              </w:rPr>
              <w:t>以上。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15</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exact"/>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社区卫生服务站至少配备</w:t>
            </w:r>
            <w:r>
              <w:rPr>
                <w:rFonts w:hint="default" w:ascii="Times New Roman" w:hAnsi="Times New Roman" w:eastAsia="微软雅黑" w:cs="Times New Roman"/>
                <w:i w:val="0"/>
                <w:iCs w:val="0"/>
                <w:caps w:val="0"/>
                <w:color w:val="333333"/>
                <w:spacing w:val="0"/>
                <w:sz w:val="19"/>
                <w:szCs w:val="19"/>
                <w:bdr w:val="none" w:color="auto" w:sz="0" w:space="0"/>
              </w:rPr>
              <w:t>1</w:t>
            </w:r>
            <w:r>
              <w:rPr>
                <w:rFonts w:hint="default" w:ascii="方正仿宋_GBK" w:hAnsi="方正仿宋_GBK" w:eastAsia="方正仿宋_GBK" w:cs="方正仿宋_GBK"/>
                <w:i w:val="0"/>
                <w:iCs w:val="0"/>
                <w:caps w:val="0"/>
                <w:color w:val="333333"/>
                <w:spacing w:val="0"/>
                <w:sz w:val="19"/>
                <w:szCs w:val="19"/>
                <w:bdr w:val="none" w:color="auto" w:sz="0" w:space="0"/>
              </w:rPr>
              <w:t>名中医类别医师或能够提供中医药服务的临床类别医师。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16</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exact"/>
              <w:textAlignment w:val="auto"/>
              <w:rPr>
                <w:rFonts w:hint="eastAsia" w:ascii="微软雅黑" w:hAnsi="微软雅黑" w:eastAsia="微软雅黑" w:cs="微软雅黑"/>
                <w:i w:val="0"/>
                <w:iCs w:val="0"/>
                <w:caps w:val="0"/>
                <w:color w:val="333333"/>
                <w:spacing w:val="0"/>
                <w:sz w:val="16"/>
                <w:szCs w:val="16"/>
              </w:rPr>
            </w:pP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jc w:val="both"/>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95%</w:t>
            </w:r>
            <w:r>
              <w:rPr>
                <w:rFonts w:hint="default" w:ascii="方正仿宋_GBK" w:hAnsi="方正仿宋_GBK" w:eastAsia="方正仿宋_GBK" w:cs="方正仿宋_GBK"/>
                <w:i w:val="0"/>
                <w:iCs w:val="0"/>
                <w:caps w:val="0"/>
                <w:color w:val="333333"/>
                <w:spacing w:val="0"/>
                <w:sz w:val="19"/>
                <w:szCs w:val="19"/>
                <w:bdr w:val="none" w:color="auto" w:sz="0" w:space="0"/>
              </w:rPr>
              <w:t>以上的村卫生室至少配备</w:t>
            </w:r>
            <w:r>
              <w:rPr>
                <w:rFonts w:hint="default" w:ascii="Times New Roman" w:hAnsi="Times New Roman" w:eastAsia="微软雅黑" w:cs="Times New Roman"/>
                <w:i w:val="0"/>
                <w:iCs w:val="0"/>
                <w:caps w:val="0"/>
                <w:color w:val="333333"/>
                <w:spacing w:val="0"/>
                <w:sz w:val="19"/>
                <w:szCs w:val="19"/>
                <w:bdr w:val="none" w:color="auto" w:sz="0" w:space="0"/>
              </w:rPr>
              <w:t>1</w:t>
            </w:r>
            <w:r>
              <w:rPr>
                <w:rFonts w:hint="default" w:ascii="方正仿宋_GBK" w:hAnsi="方正仿宋_GBK" w:eastAsia="方正仿宋_GBK" w:cs="方正仿宋_GBK"/>
                <w:i w:val="0"/>
                <w:iCs w:val="0"/>
                <w:caps w:val="0"/>
                <w:color w:val="333333"/>
                <w:spacing w:val="0"/>
                <w:sz w:val="19"/>
                <w:szCs w:val="19"/>
                <w:bdr w:val="none" w:color="auto" w:sz="0" w:space="0"/>
              </w:rPr>
              <w:t>名能够提供中医药服务的医务人员。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17</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基层中医药管理能力建设</w:t>
            </w: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所有中医馆全部接入中医馆健康信息平台，实现区县级中医医院牵头的医共体内信息互通和管理信息共享。</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15" w:lineRule="auto"/>
              <w:ind w:left="0" w:right="0" w:firstLine="0"/>
              <w:jc w:val="center"/>
              <w:textAlignment w:val="auto"/>
              <w:rPr>
                <w:rFonts w:hint="default" w:ascii="Calibri" w:hAnsi="Calibri" w:cs="Calibri"/>
                <w:sz w:val="14"/>
                <w:szCs w:val="14"/>
              </w:rPr>
            </w:pPr>
            <w:r>
              <w:rPr>
                <w:rFonts w:hint="default" w:ascii="Times New Roman" w:hAnsi="Times New Roman" w:eastAsia="微软雅黑" w:cs="Times New Roman"/>
                <w:i w:val="0"/>
                <w:iCs w:val="0"/>
                <w:caps w:val="0"/>
                <w:color w:val="333333"/>
                <w:spacing w:val="0"/>
                <w:sz w:val="19"/>
                <w:szCs w:val="19"/>
                <w:bdr w:val="none" w:color="auto" w:sz="0" w:space="0"/>
              </w:rPr>
              <w:t>18</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县域紧密型医共体建设</w:t>
            </w:r>
          </w:p>
        </w:tc>
        <w:tc>
          <w:tcPr>
            <w:tcW w:w="64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exact"/>
              <w:ind w:left="0" w:right="0"/>
              <w:jc w:val="both"/>
              <w:textAlignment w:val="auto"/>
              <w:rPr>
                <w:rFonts w:hint="default" w:ascii="Calibri" w:hAnsi="Calibri" w:cs="Calibri"/>
                <w:sz w:val="14"/>
                <w:szCs w:val="14"/>
              </w:rPr>
            </w:pPr>
            <w:r>
              <w:rPr>
                <w:rFonts w:hint="default" w:ascii="方正仿宋_GBK" w:hAnsi="方正仿宋_GBK" w:eastAsia="方正仿宋_GBK" w:cs="方正仿宋_GBK"/>
                <w:i w:val="0"/>
                <w:iCs w:val="0"/>
                <w:caps w:val="0"/>
                <w:color w:val="333333"/>
                <w:spacing w:val="0"/>
                <w:sz w:val="19"/>
                <w:szCs w:val="19"/>
                <w:bdr w:val="none" w:color="auto" w:sz="0" w:space="0"/>
              </w:rPr>
              <w:t>政府举办的区县级中医医院全部牵头组建紧密型县域医共体，覆盖人口不低于县域人口的</w:t>
            </w:r>
            <w:r>
              <w:rPr>
                <w:rFonts w:hint="default" w:ascii="Times New Roman" w:hAnsi="Times New Roman" w:eastAsia="微软雅黑" w:cs="Times New Roman"/>
                <w:i w:val="0"/>
                <w:iCs w:val="0"/>
                <w:caps w:val="0"/>
                <w:color w:val="333333"/>
                <w:spacing w:val="0"/>
                <w:sz w:val="19"/>
                <w:szCs w:val="19"/>
                <w:bdr w:val="none" w:color="auto" w:sz="0" w:space="0"/>
              </w:rPr>
              <w:t>30%</w:t>
            </w:r>
            <w:r>
              <w:rPr>
                <w:rFonts w:hint="default" w:ascii="方正仿宋_GBK" w:hAnsi="方正仿宋_GBK" w:eastAsia="方正仿宋_GBK" w:cs="方正仿宋_GBK"/>
                <w:i w:val="0"/>
                <w:iCs w:val="0"/>
                <w:caps w:val="0"/>
                <w:color w:val="333333"/>
                <w:spacing w:val="0"/>
                <w:sz w:val="19"/>
                <w:szCs w:val="19"/>
                <w:bdr w:val="none" w:color="auto" w:sz="0" w:space="0"/>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zM1YjVmNmNjYmVlZGVmZTYxOGFmMTcyODQ1ZjIifQ=="/>
  </w:docVars>
  <w:rsids>
    <w:rsidRoot w:val="00000000"/>
    <w:rsid w:val="514E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2023-08-23T05:29:04Z</dcterms:created>
  <dc:creator>admin</dc:creator>
  <cp:lastModifiedBy>Photon YM</cp:lastModifiedBy>
  <dcterms:modified xsi:type="dcterms:W3CDTF">2023-08-23T06:03:17Z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57DF8B3A0F2D46F699D2E0292CD3EC3A_12</vt:lpwstr>
  </property>
</Properties>
</file>